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85.0" w:type="dxa"/>
        <w:jc w:val="left"/>
        <w:tblInd w:w="-90.0" w:type="dxa"/>
        <w:tblLayout w:type="fixed"/>
        <w:tblLook w:val="0400"/>
      </w:tblPr>
      <w:tblGrid>
        <w:gridCol w:w="945"/>
        <w:gridCol w:w="4545"/>
        <w:gridCol w:w="555"/>
        <w:gridCol w:w="1275"/>
        <w:gridCol w:w="855"/>
        <w:gridCol w:w="4110"/>
        <w:gridCol w:w="720"/>
        <w:gridCol w:w="1110"/>
        <w:gridCol w:w="270"/>
        <w:tblGridChange w:id="0">
          <w:tblGrid>
            <w:gridCol w:w="945"/>
            <w:gridCol w:w="4545"/>
            <w:gridCol w:w="555"/>
            <w:gridCol w:w="1275"/>
            <w:gridCol w:w="855"/>
            <w:gridCol w:w="4110"/>
            <w:gridCol w:w="720"/>
            <w:gridCol w:w="1110"/>
            <w:gridCol w:w="270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8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Capital Account Format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4652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Company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Phone N</w:t>
            </w:r>
            <w:r w:rsidDel="00000000" w:rsidR="00000000" w:rsidRPr="00000000">
              <w:rPr>
                <w:rtl w:val="0"/>
              </w:rPr>
              <w:t xml:space="preserve">umber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 ID: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GSTIN N</w:t>
            </w:r>
            <w:r w:rsidDel="00000000" w:rsidR="00000000" w:rsidRPr="00000000">
              <w:rPr>
                <w:rtl w:val="0"/>
              </w:rPr>
              <w:t xml:space="preserve">umber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Branch Name if any: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Created At: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Time Period: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5465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Particulars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JF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Particulars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JF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ff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Balance b/d (Incase case of debit opening balance)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Balance b/d (Incase case of credit opening balance)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Drawings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Bank (Additional capital Introduced) A/C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Interest on Drawings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Salaries A/C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Profit and Loss Appropriation (for share of loss)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Profit and Loss Appropriation (for share of profit)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Balance c/d (Incase of Credit closing balance)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Balance c/d (Incase of debit closing balance)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6" w:w="16838" w:orient="landscape"/>
      <w:pgMar w:bottom="1440" w:top="709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rPr/>
    </w:pPr>
    <w:r w:rsidDel="00000000" w:rsidR="00000000" w:rsidRPr="00000000">
      <w:rPr/>
      <w:pict>
        <v:shape id="WordPictureWatermark1" style="position:absolute;width:707.25pt;height:449.25pt;rotation:0;z-index:-503316481;mso-position-horizontal-relative:margin;mso-position-horizontal:absolute;margin-left:-4.680118110236094pt;mso-position-vertical-relative:margin;mso-position-vertical:absolute;margin-top:3.102708053588888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